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12524</w:t>
        <w:t xml:space="preserve">.  </w:t>
      </w:r>
      <w:r>
        <w:rPr>
          <w:b/>
        </w:rPr>
        <w:t xml:space="preserve">Loan repayment agreement application</w:t>
      </w:r>
    </w:p>
    <w:p>
      <w:pPr>
        <w:jc w:val="both"/>
        <w:spacing w:before="100" w:after="100"/>
        <w:ind w:start="360"/>
        <w:ind w:firstLine="360"/>
      </w:pPr>
      <w:r>
        <w:rPr/>
      </w:r>
      <w:r>
        <w:rPr/>
      </w:r>
      <w:r>
        <w:t xml:space="preserve">Beginning July 1, 2007, an eligible employer seeking to fill an eligible employment position with an eligible individual who has outstanding student loans from financial institutions may apply on behalf of that individual to obtain one or more program loan repayment agreements under </w:t>
      </w:r>
      <w:r>
        <w:t>section 12526</w:t>
      </w:r>
      <w:r>
        <w:t xml:space="preserve">.  Applications must be submitted to the authority at a time and in a format to be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§12524. Loan repayment agreement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§12524. Loan repayment agreement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§12524. LOAN REPAYMENT AGREEMENT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