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100"/>
        <w:ind w:start="360"/>
        <w:ind w:firstLine="360"/>
      </w:pPr>
      <w:r>
        <w:rPr>
          <w:b/>
        </w:rPr>
        <w:t>1</w:t>
        <w:t xml:space="preserve">.  </w:t>
      </w:r>
      <w:r>
        <w:rPr>
          <w:b/>
        </w:rPr>
        <w:t xml:space="preserve">Accredited Maine community college, college or university.</w:t>
        <w:t xml:space="preserve"> </w:t>
      </w:r>
      <w:r>
        <w:t xml:space="preserve"> </w:t>
      </w:r>
      <w:r>
        <w:t xml:space="preserve">"Accredited Maine community college, college or university" means an institution that is accredited by a regional accrediting association or by one of the specialized accrediting agencies recognized by the United States Secretary of Education and is:</w:t>
      </w:r>
    </w:p>
    <w:p>
      <w:pPr>
        <w:jc w:val="both"/>
        <w:spacing w:before="100" w:after="0"/>
        <w:ind w:start="720"/>
      </w:pPr>
      <w:r>
        <w:rPr/>
        <w:t>A</w:t>
        <w:t xml:space="preserve">.  </w:t>
      </w:r>
      <w:r>
        <w:rPr/>
      </w:r>
      <w:r>
        <w:t xml:space="preserve">Any campus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Any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Any educational institution that is located in this State and has authorization to confer an associate degree or a bachelor's degree, in accordance with </w:t>
      </w:r>
      <w:r>
        <w:t>sections 10704</w:t>
      </w:r>
      <w:r>
        <w:t xml:space="preserve"> and </w:t>
      </w:r>
      <w:r>
        <w:t>10704‑A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Any educational institution that is located in this State and is exempted from </w:t>
      </w:r>
      <w:r>
        <w:t>chapter 409</w:t>
      </w:r>
      <w:r>
        <w:t xml:space="preserve"> under </w:t>
      </w:r>
      <w:r>
        <w:t>section 10708, subsections 1</w:t>
      </w:r>
      <w:r>
        <w:t xml:space="preserve"> and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F</w:t>
        <w:t xml:space="preserve">.  </w:t>
      </w:r>
      <w:r>
        <w:rPr/>
      </w:r>
      <w:r>
        <w:t xml:space="preserve">Any educational institution that is located in this State and is operating under a certificate of temporary approval from the state board under </w:t>
      </w:r>
      <w:r>
        <w:t>section 10703</w:t>
      </w:r>
      <w:r>
        <w:t xml:space="preserve">, to the extent that a student is ultimately able either to obtain an associate or a bachelor's degree at that institution or to transfer to and obtain a degree from an institution described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 (AMD).]</w:t>
      </w:r>
    </w:p>
    <w:p>
      <w:pPr>
        <w:jc w:val="both"/>
        <w:spacing w:before="100" w:after="0"/>
        <w:ind w:start="360"/>
        <w:ind w:firstLine="360"/>
      </w:pPr>
      <w:r>
        <w:rPr>
          <w:b/>
        </w:rPr>
        <w:t>1-A</w:t>
        <w:t xml:space="preserve">.  </w:t>
      </w:r>
      <w:r>
        <w:rPr>
          <w:b/>
        </w:rPr>
        <w:t xml:space="preserve">Accredited non-Maine community college, college or university.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 (RP).]</w:t>
      </w:r>
    </w:p>
    <w:p>
      <w:pPr>
        <w:jc w:val="both"/>
        <w:spacing w:before="100" w:after="0"/>
        <w:ind w:start="360"/>
        <w:ind w:firstLine="360"/>
      </w:pPr>
      <w:r>
        <w:rPr>
          <w:b/>
        </w:rPr>
        <w:t>2</w:t>
        <w:t xml:space="preserve">.  </w:t>
      </w:r>
      <w:r>
        <w:rPr>
          <w:b/>
        </w:rPr>
        <w:t xml:space="preserve">Benchmark loan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 (RP).]</w:t>
      </w:r>
    </w:p>
    <w:p>
      <w:pPr>
        <w:jc w:val="both"/>
        <w:spacing w:before="100" w:after="0"/>
        <w:ind w:start="360"/>
        <w:ind w:firstLine="360"/>
      </w:pPr>
      <w:r>
        <w:rPr>
          <w:b/>
        </w:rPr>
        <w:t>2-A</w:t>
        <w:t xml:space="preserve">.  </w:t>
      </w:r>
      <w:r>
        <w:rPr>
          <w:b/>
        </w:rPr>
        <w:t xml:space="preserve">Educational cost-of-living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§2 (RP).]</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has the same meaning as in </w:t>
      </w:r>
      <w:r>
        <w:t>section 10701,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w:t>
      </w:r>
    </w:p>
    <w:p>
      <w:pPr>
        <w:jc w:val="both"/>
        <w:spacing w:before="100" w:after="0"/>
        <w:ind w:start="360"/>
        <w:ind w:firstLine="360"/>
      </w:pPr>
      <w:r>
        <w:rPr>
          <w:b/>
        </w:rPr>
        <w:t>4</w:t>
        <w:t xml:space="preserve">.  </w:t>
      </w:r>
      <w:r>
        <w:rPr>
          <w:b/>
        </w:rPr>
        <w:t xml:space="preserve">Educational opportunity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§2 (RP).]</w:t>
      </w:r>
    </w:p>
    <w:p>
      <w:pPr>
        <w:jc w:val="both"/>
        <w:spacing w:before="100" w:after="0"/>
        <w:ind w:start="360"/>
        <w:ind w:firstLine="360"/>
      </w:pPr>
      <w:r>
        <w:rPr>
          <w:b/>
        </w:rPr>
        <w:t>4-A</w:t>
        <w:t xml:space="preserve">.  </w:t>
      </w:r>
      <w:r>
        <w:rPr>
          <w:b/>
        </w:rPr>
        <w:t xml:space="preserve">Financial aid package.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§3 (RP).]</w:t>
      </w:r>
    </w:p>
    <w:p>
      <w:pPr>
        <w:jc w:val="both"/>
        <w:spacing w:before="100" w:after="0"/>
        <w:ind w:start="360"/>
        <w:ind w:firstLine="360"/>
      </w:pPr>
      <w:r>
        <w:rPr>
          <w:b/>
        </w:rPr>
        <w:t>5</w:t>
        <w:t xml:space="preserve">.  </w:t>
      </w:r>
      <w:r>
        <w:rPr>
          <w:b/>
        </w:rPr>
        <w:t xml:space="preserve">Maine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§4 (RP).]</w:t>
      </w:r>
    </w:p>
    <w:p>
      <w:pPr>
        <w:jc w:val="both"/>
        <w:spacing w:before="100" w:after="0"/>
        <w:ind w:start="360"/>
        <w:ind w:firstLine="360"/>
      </w:pPr>
      <w:r>
        <w:rPr>
          <w:b/>
        </w:rPr>
        <w:t>6</w:t>
        <w:t xml:space="preserve">.  </w:t>
      </w:r>
      <w:r>
        <w:rPr>
          <w:b/>
        </w:rPr>
        <w:t xml:space="preserve">Opportunity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§6 (RP).]</w:t>
      </w:r>
    </w:p>
    <w:p>
      <w:pPr>
        <w:jc w:val="both"/>
        <w:spacing w:before="100" w:after="0"/>
        <w:ind w:start="360"/>
        <w:ind w:firstLine="360"/>
      </w:pPr>
      <w:r>
        <w:rPr>
          <w:b/>
        </w:rPr>
        <w:t>7</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§4 (RP).]</w:t>
      </w:r>
    </w:p>
    <w:p>
      <w:pPr>
        <w:jc w:val="both"/>
        <w:spacing w:before="100" w:after="0"/>
        <w:ind w:start="360"/>
        <w:ind w:firstLine="360"/>
      </w:pPr>
      <w:r>
        <w:rPr>
          <w:b/>
        </w:rPr>
        <w:t>8</w:t>
        <w:t xml:space="preserve">.  </w:t>
      </w:r>
      <w:r>
        <w:rPr>
          <w:b/>
        </w:rPr>
        <w:t xml:space="preserve">Qualified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§5 (RP).]</w:t>
      </w:r>
    </w:p>
    <w:p>
      <w:pPr>
        <w:jc w:val="both"/>
        <w:spacing w:before="100" w:after="0"/>
        <w:ind w:start="360"/>
        <w:ind w:firstLine="360"/>
      </w:pPr>
      <w:r>
        <w:rPr>
          <w:b/>
        </w:rPr>
        <w:t>9</w:t>
        <w:t xml:space="preserve">.  </w:t>
      </w:r>
      <w:r>
        <w:rPr>
          <w:b/>
        </w:rPr>
        <w:t xml:space="preserve">Qualified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(AMD). PL 2011, c. 665, §1 (AMD). PL 2013, c. 525, §§1-6 (AMD). PL 2015, c. 300, Pt. A, §4 (AMD). PL 2021, c. 635, Pt. H,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