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1987, c. 395, Pt. A, §53 (AMD).]</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district is apportioned in accordance with the principles of one person, one vote, if:</w:t>
      </w:r>
    </w:p>
    <w:p>
      <w:pPr>
        <w:jc w:val="both"/>
        <w:spacing w:before="100" w:after="0"/>
        <w:ind w:start="720"/>
      </w:pPr>
      <w:r>
        <w:rPr/>
        <w:t>A</w:t>
        <w:t xml:space="preserve">.  </w:t>
      </w:r>
      <w:r>
        <w:rPr/>
      </w:r>
      <w:r>
        <w:t xml:space="preserve">The commissioner receives a request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B</w:t>
        <w:t xml:space="preserve">.  </w:t>
      </w:r>
      <w:r>
        <w:rPr/>
      </w:r>
      <w:r>
        <w:t xml:space="preserve">The commissioner receives a petition signed by district voters equal to at least 10% of the voters who voted in the last gubernatorial election in the district; or</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C</w:t>
        <w:t xml:space="preserve">.  </w:t>
      </w:r>
      <w:r>
        <w:rPr/>
      </w:r>
      <w:r>
        <w:t xml:space="preserve">The commissioner determines a district is not apportioned according to the principles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 (COR).]</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district's representation is not apportioned in accordance with the principle of one person, one vote, the commissioner shall, within 7 days of that decision, notify the superintendent of the finding and shall order the superintendent to notify the municipal officers in each municipality in the district and the school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shall consist of one municipal officer and one citizen at large from each member municipality, chosen by the municipal officers, and one director from each municipality, chosen by the board of directors.  The appointments shall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committee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The commissioner shall provide the superintendent with the most recent Federal Decennial Census or Federal Estimated Census figures for each municipality in the district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§2 (AMD).]</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committee shall:</w:t>
      </w:r>
    </w:p>
    <w:p>
      <w:pPr>
        <w:jc w:val="both"/>
        <w:spacing w:before="100" w:after="0"/>
        <w:ind w:start="720"/>
      </w:pPr>
      <w:r>
        <w:rPr/>
        <w:t>A</w:t>
        <w:t xml:space="preserve">.  </w:t>
      </w:r>
      <w:r>
        <w:rPr/>
      </w:r>
      <w:r>
        <w:t xml:space="preserve">Elect a chairman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Consider and by majority vote adopt a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Within 90 days of the first meeting, send a report of their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committee plan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§54 (AMD).]</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plan has not been adopted by the committee or approved by the commissioner within the time limits,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 (COR).]</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plan, the commissioner shall send a certified copy to the municipal officers and school directors.  The original plan shall be retained in the department files.</w:t>
      </w:r>
    </w:p>
    <w:p>
      <w:pPr>
        <w:jc w:val="both"/>
        <w:spacing w:before="100" w:after="0"/>
        <w:ind w:start="720"/>
      </w:pPr>
      <w:r>
        <w:rPr/>
        <w:t>A</w:t>
        <w:t xml:space="preserve">.  </w:t>
      </w:r>
      <w:r>
        <w:rPr/>
      </w:r>
      <w:r>
        <w:t xml:space="preserve">The approved plan shall be effective immediately.  The committee shall determine the terms of the directors who shall be elected at the next annual municipal elections so as to comply with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approved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 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 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2003, c. 57, §1 (RPR).]</w:t>
      </w:r>
    </w:p>
    <w:p>
      <w:pPr>
        <w:jc w:val="both"/>
        <w:spacing w:before="100" w:after="0"/>
        <w:ind w:start="720"/>
      </w:pPr>
      <w:r>
        <w:rPr/>
        <w:t>C</w:t>
        <w:t xml:space="preserve">.  </w:t>
      </w:r>
      <w:r>
        <w:rPr/>
      </w:r>
      <w:r>
        <w:t xml:space="preserve">If the approved plan requires that additional directors be elected in a municipality, the municipal officers shall fill the vacancies by appointment. A new director shall serve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1983, c. 806,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435, §3 (RP).]</w:t>
      </w:r>
    </w:p>
    <w:p>
      <w:pPr>
        <w:jc w:val="both"/>
        <w:spacing w:before="100" w:after="0"/>
        <w:ind w:start="720"/>
      </w:pPr>
      <w:r>
        <w:rPr/>
        <w:t>E</w:t>
        <w:t xml:space="preserve">.  </w:t>
      </w:r>
      <w:r>
        <w:rPr/>
      </w:r>
      <w:r>
        <w:t xml:space="preserve">The reapportionment committee shall thereupon be dissolved.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 §1 (AMD).]</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board of directors, during the reapportionment of its membership, shall serve as legal representatives of the district until the reapportionment is completed. The board shall carry out all business of the district, including the borrowing of necessary funds which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school administrative district or interested parties may request that the state board reconsider decisions made by the commissioner in this section. The state board shall have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w:pPr>
        <w:jc w:val="both"/>
        <w:spacing w:before="100" w:after="0"/>
        <w:ind w:start="360"/>
        <w:ind w:firstLine="360"/>
      </w:pPr>
      <w:r>
        <w:rPr>
          <w:b/>
        </w:rPr>
        <w:t>13</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§10 (AMD). PL 1983, c. 806, §17 (AMD). PL 1987, c. 395, §§A53-A56 (AMD). PL 1993, c. 435, §3 (AMD). PL 2003, c. 57, §1 (AMD). PL 2003, c. 354, §§1,2 (AMD). RR 2019, c. 2, Pt. B,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