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12554</w:t>
        <w:t xml:space="preserve">.  </w:t>
      </w:r>
      <w:r>
        <w:rPr>
          <w:b/>
        </w:rPr>
        <w:t xml:space="preserve">Administration</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desiring tuition waiver under this chapter may apply to the authority for determination of eligibility.  Application must be on forms and in a manner prescribed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§17 (RPR).]</w:t>
      </w:r>
    </w:p>
    <w:p>
      <w:pPr>
        <w:jc w:val="both"/>
        <w:spacing w:before="100" w:after="0"/>
        <w:ind w:start="360"/>
        <w:ind w:firstLine="360"/>
      </w:pPr>
      <w:r>
        <w:rPr>
          <w:b/>
        </w:rPr>
        <w:t>2</w:t>
        <w:t xml:space="preserve">.  </w:t>
      </w:r>
      <w:r>
        <w:rPr>
          <w:b/>
        </w:rPr>
        <w:t xml:space="preserve">Decision.</w:t>
        <w:t xml:space="preserve"> </w:t>
      </w:r>
      <w:r>
        <w:t xml:space="preserve"> </w:t>
      </w:r>
      <w:r>
        <w:t xml:space="preserve">The authority shall determine whether an applicant is eligible and notify the applicant.  The authority shall also notify the state post-secondary educational institution at which the person is accepted of the eligibility of that child for tuition waiver. Unless notified by the authority of a change in the student's eligibility, the institution may not bill an eligible student for tuition during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§45 (AMD); PL 1989, c. 698, §76 (AFF).]</w:t>
      </w:r>
    </w:p>
    <w:p>
      <w:pPr>
        <w:jc w:val="both"/>
        <w:spacing w:before="100" w:after="10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§45 (RP);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1989, c. 698, §45 (AMD). PL 1989, c. 700, §A64 (AMD). PL 1991, c. 612,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