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13031</w:t>
        <w:t xml:space="preserve">.  </w:t>
      </w:r>
      <w:r>
        <w:rPr>
          <w:b/>
        </w:rPr>
        <w:t xml:space="preserve">Purpose</w:t>
      </w:r>
    </w:p>
    <w:p>
      <w:pPr>
        <w:jc w:val="both"/>
        <w:spacing w:before="100" w:after="100"/>
        <w:ind w:start="360"/>
        <w:ind w:firstLine="360"/>
      </w:pPr>
      <w:r>
        <w:rPr/>
      </w:r>
      <w:r>
        <w:rPr/>
      </w:r>
      <w:r>
        <w:t xml:space="preserve">The Legislature declares that the purpose of this chapter is to establish standardized qualifying examinations for those persons seeking professional teacher certificates to teach in the State.</w:t>
      </w:r>
      <w:r>
        <w:t xml:space="preserve">  </w:t>
      </w:r>
      <w:r xmlns:wp="http://schemas.openxmlformats.org/drawingml/2010/wordprocessingDrawing" xmlns:w15="http://schemas.microsoft.com/office/word/2012/wordml">
        <w:rPr>
          <w:rFonts w:ascii="Arial" w:hAnsi="Arial" w:cs="Arial"/>
          <w:sz w:val="22"/>
          <w:szCs w:val="22"/>
        </w:rPr>
        <w:t xml:space="preserve">[PL 2021,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2021, c. 228,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