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13301</w:t>
        <w:t xml:space="preserve">.  </w:t>
      </w:r>
      <w:r>
        <w:rPr>
          <w:b/>
        </w:rPr>
        <w:t xml:space="preserve">Definition</w:t>
      </w:r>
    </w:p>
    <w:p>
      <w:pPr>
        <w:jc w:val="both"/>
        <w:spacing w:before="100" w:after="100"/>
        <w:ind w:start="360"/>
        <w:ind w:firstLine="360"/>
      </w:pPr>
      <w:r>
        <w:rPr/>
      </w:r>
      <w:r>
        <w:rPr/>
      </w:r>
      <w:r>
        <w:t xml:space="preserve">For the purposes of this chapter, "principal" means any person certified as a principal in accordance with </w:t>
      </w:r>
      <w:r>
        <w:t>chapter 501</w:t>
      </w:r>
      <w:r>
        <w:t xml:space="preserve"> or </w:t>
      </w:r>
      <w:r>
        <w:t>502</w:t>
      </w:r>
      <w:r>
        <w:t xml:space="preserve"> who is employed as a supervising principal for more than 50% of the time in any public elementary or secondary school in the State.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§13301.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§13301.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