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 Formation of a regional school unit; reorganization planning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Formation of a regional school unit; reorganization planning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 FORMATION OF A REGIONAL SCHOOL UNIT; REORGANIZATION PLANNING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