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§1466. WITHDRAWAL OF A SINGLE MUNICIPALITY FROM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