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§1472-A. Election of initial regional school unit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§1472-A. Election of initial regional school unit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§1472-A. ELECTION OF INITIAL REGIONAL SCHOOL UNIT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