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Regional school unit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Beginning with the budget for the 2008-2009 school year, a regional school unit shall include in its budget document:</w:t>
      </w:r>
    </w:p>
    <w:p>
      <w:pPr>
        <w:jc w:val="both"/>
        <w:spacing w:before="100" w:after="0"/>
        <w:ind w:start="720"/>
      </w:pPr>
      <w:r>
        <w:rPr/>
        <w:t>A</w:t>
        <w:t xml:space="preserve">.  </w:t>
      </w:r>
      <w:r>
        <w:rPr/>
      </w:r>
      <w:r>
        <w:t xml:space="preserve">The regional school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§1483. Regional school unit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Regional school unit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§1483. REGIONAL SCHOOL UNIT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