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15676</w:t>
        <w:t xml:space="preserve">.  </w:t>
      </w:r>
      <w:r>
        <w:rPr>
          <w:b/>
        </w:rPr>
        <w:t xml:space="preserve">EPS per-pupil rate</w:t>
      </w:r>
    </w:p>
    <w:p>
      <w:pPr>
        <w:jc w:val="both"/>
        <w:spacing w:before="100" w:after="100"/>
        <w:ind w:start="360"/>
        <w:ind w:firstLine="360"/>
      </w:pPr>
      <w:r>
        <w:rPr/>
      </w:r>
      <w:r>
        <w:rPr/>
      </w:r>
      <w:r>
        <w:t xml:space="preserve">For each school administrative unit, the commissioner shall calculate the unit's EPS per-pupil rate for each year as the sum of:</w:t>
      </w:r>
      <w:r>
        <w:t xml:space="preserve">  </w:t>
      </w:r>
      <w:r xmlns:wp="http://schemas.openxmlformats.org/drawingml/2010/wordprocessingDrawing" xmlns:w15="http://schemas.microsoft.com/office/word/2012/wordml">
        <w:rPr>
          <w:rFonts w:ascii="Arial" w:hAnsi="Arial" w:cs="Arial"/>
          <w:sz w:val="22"/>
          <w:szCs w:val="22"/>
        </w:rPr>
        <w:t xml:space="preserve">[PL 2005, c. 2, Pt. D, §39 (AMD); PL 2005, c. 2, Pt. D, §§72, 74 (AFF); PL 2005, c. 12, Pt. WW, §18 (AFF).]</w:t>
      </w:r>
    </w:p>
    <w:p>
      <w:pPr>
        <w:jc w:val="both"/>
        <w:spacing w:before="100" w:after="0"/>
        <w:ind w:start="360"/>
        <w:ind w:firstLine="360"/>
      </w:pPr>
      <w:r>
        <w:rPr>
          <w:b/>
        </w:rPr>
        <w:t>1</w:t>
        <w:t xml:space="preserve">.  </w:t>
      </w:r>
      <w:r>
        <w:rPr>
          <w:b/>
        </w:rPr>
        <w:t xml:space="preserve">Teaching staff costs.</w:t>
        <w:t xml:space="preserve"> </w:t>
      </w:r>
      <w:r>
        <w:t xml:space="preserve"> </w:t>
      </w:r>
      <w:r>
        <w:t xml:space="preserve">Beginning July 1, 2017, the salary and benefit costs for school level teaching staff that are necessary to carry out this Act, calculated in accordance with </w:t>
      </w:r>
      <w:r>
        <w:t>section 15678</w:t>
      </w:r>
      <w:r>
        <w:t xml:space="preserve"> and adjusted by the regional adjustment under </w:t>
      </w:r>
      <w:r>
        <w:t>section 15682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2</w:t>
        <w:t xml:space="preserve">.  </w:t>
      </w:r>
      <w:r>
        <w:rPr>
          <w:b/>
        </w:rPr>
        <w:t xml:space="preserve">Other staff costs.</w:t>
        <w:t xml:space="preserve"> </w:t>
      </w:r>
      <w:r>
        <w:t xml:space="preserve"> </w:t>
      </w:r>
      <w:r>
        <w:t xml:space="preserve">Beginning July 1, 2017, the salary and benefit costs for school-level staff who are not teachers, but including substitute teachers, that are necessary to carry out this Act, calculated in accordance with </w:t>
      </w:r>
      <w:r>
        <w:t>section 15679</w:t>
      </w:r>
      <w:r>
        <w:t xml:space="preserve"> and adjusted by the regional adjustment under </w:t>
      </w:r>
      <w:r>
        <w:t>section 15682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3</w:t>
        <w:t xml:space="preserve">.  </w:t>
      </w:r>
      <w:r>
        <w:rPr>
          <w:b/>
        </w:rPr>
        <w:t xml:space="preserve">Additional costs.</w:t>
        <w:t xml:space="preserve"> </w:t>
      </w:r>
      <w:r>
        <w:t xml:space="preserve"> </w:t>
      </w:r>
      <w:r>
        <w:t xml:space="preserve">The per-pupil amounts not related to staffing, calculated in accordance with </w:t>
      </w:r>
      <w:r>
        <w:t>section 15680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r>
      <w:r>
        <w:rPr/>
      </w:r>
      <w:r>
        <w:t xml:space="preserve">The EPS per-pupil rate is calculated on the basis of which schools students attend.  For school administrative units that do not operate their own schools, the EPS per-pupil rate is calculated under </w:t>
      </w:r>
      <w:r>
        <w:t>section 15676‑A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§39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§D39 (AMD). PL 2005, c. 2, §§D72,74 (AFF). PL 2005, c. 12, §WW18 (AFF). RR 2011, c. 2, §19 (COR). PL 2017, c. 284, Pt. C,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§15676. EPS per-pupil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§15676. EPS per-pupil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§15676. EPS PER-PUPIL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