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15912</w:t>
        <w:t xml:space="preserve">.  </w:t>
      </w:r>
      <w:r>
        <w:rPr>
          <w:b/>
        </w:rPr>
        <w:t xml:space="preserve">Inspection of facility; compliance</w:t>
      </w:r>
    </w:p>
    <w:p>
      <w:pPr>
        <w:jc w:val="both"/>
        <w:spacing w:before="100" w:after="100"/>
        <w:ind w:start="360"/>
        <w:ind w:firstLine="360"/>
      </w:pPr>
      <w:r>
        <w:rPr/>
      </w:r>
      <w:r>
        <w:rPr/>
      </w:r>
      <w:r>
        <w:t xml:space="preserve">If it appears that a school administrative unit has failed to maintain a school facility which protects the health, welfare and safety of the persons utilizing the facility, the commissioner may cause an inspection to be made. The commissioner shall notify the school administrative unit of the findings of the investigation and of any changes to be made.  The school administrative unit shall make the changes promptly.  If it fails to make the changes, it shall be liable to the penalties provided in </w:t>
      </w:r>
      <w:r>
        <w:t>section 6801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§15912. Inspection of facility;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§15912. Inspection of facility;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§15912. INSPECTION OF FACILITY;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