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Fiscal authority</w:t>
      </w:r>
    </w:p>
    <w:p>
      <w:pPr>
        <w:jc w:val="both"/>
        <w:spacing w:before="100" w:after="100"/>
        <w:ind w:start="360"/>
        <w:ind w:firstLine="360"/>
      </w:pPr>
      <w:r>
        <w:rPr/>
      </w:r>
      <w:r>
        <w:rPr/>
      </w:r>
      <w:r>
        <w:t xml:space="preserve">The superintendent of a school union may be designated as the treasurer of the school union and, notwithstanding </w:t>
      </w:r>
      <w:r>
        <w:t>section 1902, subsection 3, paragraph F</w:t>
      </w:r>
      <w:r>
        <w:t xml:space="preserve">, the union committee of a school union may perform the functions of fiscal agent for the school administrative units in the school union if a majority of the voters in each municipality agree to these designations through a referendum or at a town meeting.  The article that is placed before the voters in each municipality must state the specific functions to be performed by the fiscal agent, must state that the agreement under which the union committee may perform the functions of fiscal agent may not exceed a period of 3 years and must also include a schedule for regular payment of the warrants approved in each municipality to the union committee.  The school union must provide the municipalities with accounting records after an audit has been completed and delivered to the superintendent.  An agreement under which the union committee performs the functions of fiscal agent may be renewed for a period not to exceed 3 years.  Each renewal may be approved only in accordance with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130,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Fiscal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Fiscal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§1904. FISCAL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