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§2303. Additional school committee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Additional school committee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§2303. ADDITIONAL SCHOOL COMMITTEE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