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§2407. Charter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Charter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§2407. CHARTER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