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§3001. Schools for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Schools for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§3001. SCHOOLS FOR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