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3607</w:t>
        <w:t xml:space="preserve">.  </w:t>
      </w:r>
      <w:r>
        <w:rPr>
          <w:b/>
        </w:rPr>
        <w:t xml:space="preserve">Duties of interstate school district planning committee</w:t>
      </w:r>
    </w:p>
    <w:p>
      <w:pPr>
        <w:jc w:val="both"/>
        <w:spacing w:before="100" w:after="100"/>
        <w:ind w:start="360"/>
        <w:ind w:firstLine="360"/>
      </w:pPr>
      <w:r>
        <w:rPr/>
      </w:r>
      <w:r>
        <w:rPr/>
      </w:r>
      <w:r>
        <w:t xml:space="preserve">It shall be the duty of an interstate school district planning committee, in consultation with the commissioners and the state departments of education: To study the advisability of establishing an interstate school district in accordance with the standards set forth in </w:t>
      </w:r>
      <w:r>
        <w:t>section 3602</w:t>
      </w:r>
      <w:r>
        <w:t xml:space="preserve">, its organization, operation and control, and the advisability of constructing, maintaining and operating a school or schools to serve the needs of such interstate district; to estimate the construction and operating costs thereof; to investigate the methods of financing such school or schools, and any other matters pertaining to the organization and operation of an interstate school district; and to submit a report or reports of its findings and recommendations to the several member districts.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§3607. Duties of interstate school district planning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§3607. Duties of interstate school district planning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§3607. DUTIES OF INTERSTATE SCHOOL DISTRICT PLANNING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