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3612</w:t>
        <w:t xml:space="preserve">.  </w:t>
      </w:r>
      <w:r>
        <w:rPr>
          <w:b/>
        </w:rPr>
        <w:t xml:space="preserve">Resubmission</w:t>
      </w:r>
    </w:p>
    <w:p>
      <w:pPr>
        <w:jc w:val="both"/>
        <w:spacing w:before="100" w:after="100"/>
        <w:ind w:start="360"/>
        <w:ind w:firstLine="360"/>
      </w:pPr>
      <w:r>
        <w:rPr/>
      </w:r>
      <w:r>
        <w:rPr/>
      </w:r>
      <w:r>
        <w:t xml:space="preserve">If the proposed articles of agreement are adopted by one or more of the member districts but rejected by one or more of the member districts, the state boards may resubmit them, in the same form as previously submitted, to the rejecting member districts, in which case the school boards thereof shall resubmit them to the voters in accordance with </w:t>
      </w:r>
      <w:r>
        <w:t>section 3611</w:t>
      </w:r>
      <w:r>
        <w:t xml:space="preserve">.  An affirmative vote in accordance therewith shall have the same effect as though the articles of agreement had been adopted in the first instance.  In the alternative, the state boards may either discharge the planning committee, or refer the articles of agreement back for further consideration to the same or a reconstituted planning committee, which shall have all of the powers and duties as the planning committee as originally constituted.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§3612. Resubmission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§3612. Resubmission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§3612. RESUBMISSION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