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3615</w:t>
        <w:t xml:space="preserve">.  </w:t>
      </w:r>
      <w:r>
        <w:rPr>
          <w:b/>
        </w:rPr>
        <w:t xml:space="preserve">Eligibility of voters</w:t>
      </w:r>
    </w:p>
    <w:p>
      <w:pPr>
        <w:jc w:val="both"/>
        <w:spacing w:before="100" w:after="100"/>
        <w:ind w:start="360"/>
        <w:ind w:firstLine="360"/>
      </w:pPr>
      <w:r>
        <w:rPr/>
      </w:r>
      <w:r>
        <w:rPr/>
      </w:r>
      <w:r>
        <w:t xml:space="preserve">Any resident who would be eligible to vote at a meeting of a member district being held at the same time shall be eligible to vote at a meeting of the interstate district.  The town clerks in each Maine member district and the supervisors of the checklist of each New Hampshire district shall respectively prepare a checklist of eligible voters for each meeting of the interstate district in the same manner, and they shall have all the same powers and duties with respect to eligibility of voters in their districts as for a meeting of a member district.</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§3615. Eligibility of voters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§3615. Eligibility of voters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§3615. ELIGIBILITY OF VOTERS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