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3627</w:t>
        <w:t xml:space="preserve">.  </w:t>
      </w:r>
      <w:r>
        <w:rPr>
          <w:b/>
        </w:rPr>
        <w:t xml:space="preserve">Vice-chair of the board of directors</w:t>
      </w:r>
    </w:p>
    <w:p>
      <w:pPr>
        <w:jc w:val="both"/>
        <w:spacing w:before="100" w:after="100"/>
        <w:ind w:start="360"/>
        <w:ind w:firstLine="360"/>
      </w:pPr>
      <w:r>
        <w:rPr/>
      </w:r>
      <w:r>
        <w:rPr/>
      </w:r>
      <w:r>
        <w:t xml:space="preserve">The vice-chair of the interstate board must be elected in the same manner as the chair.  The vice-chair must represent a member district in a state other than that represented by the chair.  The vice-chair shall preside in the absence of the chair and shall perform such other duties as may be assigned to the vice-chair by the interstate board.</w:t>
      </w:r>
      <w:r>
        <w:t xml:space="preserve">  </w:t>
      </w:r>
      <w:r xmlns:wp="http://schemas.openxmlformats.org/drawingml/2010/wordprocessingDrawing" xmlns:w15="http://schemas.microsoft.com/office/word/2012/wordml">
        <w:rPr>
          <w:rFonts w:ascii="Arial" w:hAnsi="Arial" w:cs="Arial"/>
          <w:sz w:val="22"/>
          <w:szCs w:val="22"/>
        </w:rPr>
        <w:t xml:space="preserve">[RR 2019, c. 2, Pt. B, §9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§36 (AMD). RR 2019, c. 2, Pt. B, §9 (COR). RR 2021, c. 1, Pt. A,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§3627. Vice-chair of the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§3627. Vice-chair of the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§3627. VICE-CHAIR OF THE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