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3639</w:t>
        <w:t xml:space="preserve">.  </w:t>
      </w:r>
      <w:r>
        <w:rPr>
          <w:b/>
        </w:rPr>
        <w:t xml:space="preserve">Share of New Hampshire member district</w:t>
      </w:r>
    </w:p>
    <w:p>
      <w:pPr>
        <w:jc w:val="both"/>
        <w:spacing w:before="100" w:after="100"/>
        <w:ind w:start="360"/>
        <w:ind w:firstLine="360"/>
      </w:pPr>
      <w:r>
        <w:rPr/>
      </w:r>
      <w:r>
        <w:rPr/>
      </w:r>
      <w:r>
        <w:t xml:space="preserve">The interstate board shall certify the share of a New Hampshire member district of the total appropriation to the school board of each member district which shall add such sum to the amount appropriated by the member district itself for the ensuing year and raise such sum in the same manner as though the appropriation had been voted at a school district meeting of the member district.  The interstate district shall not set up its own capital reserve funds; but a New Hampshire member district may set up a capital reserve fund in accordance with RSA 35, to be turned over to the interstate district in payment of the New Hampshire member district's share of any anticipated obligations.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§3639. Share of New Hampshire member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§3639. Share of New Hampshire member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§3639. SHARE OF NEW HAMPSHIRE MEMBER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