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3668</w:t>
        <w:t xml:space="preserve">.  </w:t>
      </w:r>
      <w:r>
        <w:rPr>
          <w:b/>
        </w:rPr>
        <w:t xml:space="preserve">Administrative agreement between commissioners of education</w:t>
      </w:r>
    </w:p>
    <w:p>
      <w:pPr>
        <w:jc w:val="both"/>
        <w:spacing w:before="100" w:after="100"/>
        <w:ind w:start="360"/>
        <w:ind w:firstLine="360"/>
      </w:pPr>
      <w:r>
        <w:rPr/>
      </w:r>
      <w:r>
        <w:rPr/>
      </w:r>
      <w:r>
        <w:t xml:space="preserve">The commissioners of education of New Hampshire and Maine may enter into one or more administrative agreements prescribing the relationship between the interstate districts, member districts, and each of the 2 state departments of education, in which any conflicts between the 2 states in procedure, regulations, and administrative practices may be resolved.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§3668. Administrative agreement between commissioners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§3668. Administrative agreement between commissioners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§3668. ADMINISTRATIVE AGREEMENT BETWEEN COMMISSIONERS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