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4520</w:t>
        <w:t xml:space="preserve">.  </w:t>
      </w:r>
      <w:r>
        <w:rPr>
          <w:b/>
        </w:rPr>
        <w:t xml:space="preserve">Guidance and technical assistance by the department</w:t>
      </w:r>
    </w:p>
    <w:p>
      <w:pPr>
        <w:jc w:val="both"/>
        <w:spacing w:before="100" w:after="100"/>
        <w:ind w:start="360"/>
        <w:ind w:firstLine="360"/>
      </w:pPr>
      <w:r>
        <w:rPr/>
      </w:r>
      <w:r>
        <w:rPr/>
      </w:r>
      <w:r>
        <w:t xml:space="preserve">The commissioner shall provide guidance and technical assistance to school personnel, consistent with available resources, to aid them in meeting basic school approval requirements and established accreditation standards and to achieve general improvement in such areas as curriculum, school management, teaching and student assessment. This assistance may be given by departmental staff and by school approval specialists employed for limited periods.</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§4520. Guidance and technical assistance by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§4520. Guidance and technical assistance by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§4520. GUIDANCE AND TECHNICAL ASSISTANCE BY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