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9. Blind students; instruction in Brail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Blind students; instruction in Brail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9. BLIND STUDENTS; INSTRUCTION IN BRAIL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