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Computer instruction</w:t>
      </w:r>
    </w:p>
    <w:p>
      <w:pPr>
        <w:jc w:val="both"/>
        <w:spacing w:before="100" w:after="100"/>
        <w:ind w:start="360"/>
        <w:ind w:firstLine="360"/>
      </w:pPr>
      <w:r>
        <w:rPr/>
      </w:r>
      <w:r>
        <w:rPr/>
      </w:r>
      <w:r>
        <w:t xml:space="preserve">Instruction in the use and application of computer skills shall be available to secondary school students. Each school administrative unit shall develop, with the approval of the commissioner, standards for computer literacy, proficiency and performance levels which shall be required for graduation.</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§4724. Computer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Computer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§4724. COMPUTER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