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Dissemination of information</w:t>
      </w:r>
    </w:p>
    <w:p>
      <w:pPr>
        <w:jc w:val="both"/>
        <w:spacing w:before="100" w:after="100"/>
        <w:ind w:start="360"/>
        <w:ind w:firstLine="360"/>
      </w:pPr>
      <w:r>
        <w:rPr/>
      </w:r>
      <w:r>
        <w:rPr/>
      </w:r>
      <w:r>
        <w:t xml:space="preserve">School administrative units shall provide general information concerning postsecondary education options available to parents and students.</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§4773.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§4773.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