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Students enrolled in career and technical educational programs</w:t>
      </w:r>
    </w:p>
    <w:p>
      <w:pPr>
        <w:jc w:val="both"/>
        <w:spacing w:before="100" w:after="100"/>
        <w:ind w:start="360"/>
        <w:ind w:firstLine="360"/>
      </w:pPr>
      <w:r>
        <w:rPr/>
      </w:r>
      <w:r>
        <w:rPr/>
      </w:r>
      <w:r>
        <w:t xml:space="preserve">Schools receiving tuition students who are enrolled in regular school day career and technical educational programs at career and technical education centers, satellites or career and technical education regions, under </w:t>
      </w:r>
      <w:r>
        <w:t>chapter 313</w:t>
      </w:r>
      <w:r>
        <w:t xml:space="preserve">, may charge a tuition rate up to 2/3 of the maximum tuition rate as computed under </w:t>
      </w:r>
      <w:r>
        <w:t>section 5805</w:t>
      </w:r>
      <w:r>
        <w:t xml:space="preserve"> or </w:t>
      </w:r>
      <w:r>
        <w:t>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§§6,7 (AMD). PL 1999, c. 75, §4 (AMD). PL 2003, c. 477, §5 (AMD). PL 2003, c. 545, §§5,6 (REV). PL 2017, c. 420,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§5809. Students enrolled in career and technical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Students enrolled in career and technical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§5809. STUDENTS ENROLLED IN CAREER AND TECHNICAL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