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Automated external defibrillators and cardiopulmonary resuscitation</w:t>
      </w:r>
    </w:p>
    <w:p>
      <w:pPr>
        <w:jc w:val="both"/>
        <w:spacing w:before="100" w:after="100"/>
        <w:ind w:start="360"/>
        <w:ind w:firstLine="360"/>
      </w:pPr>
      <w:r>
        <w:rPr/>
      </w:r>
      <w:r>
        <w:rPr/>
      </w:r>
      <w:r>
        <w:t xml:space="preserve">School boards may place automated external defibrillators in occupied school buildings and at school athletic events.  School personnel and members of the public may receive training on how to perform cardiopulmonary resuscitation and use automated external defibrillators in order to acquire the skills and confidence to respond to emergencies.  In accordance with rules adopted by the department, public schools shall offer training to students on how to perform cardiopulmonary resuscitation and use automated external defibrillators.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§1 (NEW). PL 2015, c. 140,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§6304. Automated external defibrillators and cardiopulmonary resuscitation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Automated external defibrillators and cardiopulmonary resuscitation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§6304. AUTOMATED EXTERNAL DEFIBRILLATORS AND CARDIOPULMONARY RESUSCITATION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