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6352</w:t>
        <w:t xml:space="preserve">.  </w:t>
      </w:r>
      <w:r>
        <w:rPr>
          <w:b/>
        </w:rPr>
        <w:t xml:space="preserve">Immunization</w:t>
      </w:r>
    </w:p>
    <w:p>
      <w:pPr>
        <w:jc w:val="both"/>
        <w:spacing w:before="100" w:after="100"/>
        <w:ind w:start="360"/>
        <w:ind w:firstLine="360"/>
      </w:pPr>
      <w:r>
        <w:rPr/>
      </w:r>
      <w:r>
        <w:rPr/>
      </w:r>
      <w:r>
        <w:t xml:space="preserve">To assure a safe and healthful school environment, the Legislature intends that the provisions of this subchapter on immunization shall apply in the schools of the State.</w:t>
      </w:r>
      <w:r>
        <w:t xml:space="preserve">  </w:t>
      </w:r>
      <w:r xmlns:wp="http://schemas.openxmlformats.org/drawingml/2010/wordprocessingDrawing" xmlns:w15="http://schemas.microsoft.com/office/word/2012/wordml">
        <w:rPr>
          <w:rFonts w:ascii="Arial" w:hAnsi="Arial" w:cs="Arial"/>
          <w:sz w:val="22"/>
          <w:szCs w:val="22"/>
        </w:rPr>
        <w:t xml:space="preserve">[PL 1983, c. 661,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§6352. Immunization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§6352. Immunization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§6352. IMMUNIZATION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