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§6602. School food service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School food service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§6602. SCHOOL FOOD SERVICE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