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6631</w:t>
        <w:t xml:space="preserve">.  </w:t>
      </w:r>
      <w:r>
        <w:rPr>
          <w:b/>
        </w:rPr>
        <w:t xml:space="preserve">Obesity and Chronic Disease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Obesity and Chronic Disease Fund, referred to in this section as "the fund," is established as an interest-bearing account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§1 (AMD).]</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w:t>
      </w:r>
    </w:p>
    <w:p>
      <w:pPr>
        <w:jc w:val="both"/>
        <w:spacing w:before="100" w:after="0"/>
        <w:ind w:start="360"/>
        <w:ind w:firstLine="360"/>
      </w:pPr>
      <w:r>
        <w:rPr>
          <w:b/>
        </w:rPr>
        <w:t>3</w:t>
        <w:t xml:space="preserve">.  </w:t>
      </w:r>
      <w:r>
        <w:rPr>
          <w:b/>
        </w:rPr>
        <w:t xml:space="preserve">Use of fund; health and physical fitness.</w:t>
        <w:t xml:space="preserve"> </w:t>
      </w:r>
      <w:r>
        <w:t xml:space="preserve"> </w:t>
      </w:r>
      <w:r>
        <w:t xml:space="preserve">Balances in the fund may be used for the necessary expenses of the department and the Department of Health and Human Services in the administration of the fund.  Balances in the fund may be used to pay for new equipment, new staff training, new personnel, new administrative costs and other expenses not related to an existing physical education program and for the implementation of a new physical education program for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 PL 2011, c. 108,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§6631. Obesity and Chronic Disease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§6631. Obesity and Chronic Disease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§6631. OBESITY AND CHRONIC DISEASE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