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6802</w:t>
        <w:t xml:space="preserve">.  </w:t>
      </w:r>
      <w:r>
        <w:rPr>
          <w:b/>
        </w:rPr>
        <w:t xml:space="preserve">Forfeiture</w:t>
      </w:r>
    </w:p>
    <w:p>
      <w:pPr>
        <w:jc w:val="both"/>
        <w:spacing w:before="100" w:after="100"/>
        <w:ind w:start="360"/>
        <w:ind w:firstLine="360"/>
      </w:pPr>
      <w:r>
        <w:rPr/>
      </w:r>
      <w:r>
        <w:rPr/>
      </w:r>
      <w:r>
        <w:t xml:space="preserve">A forfeiture under this Title may be recovered in a civil action.  Unless specifically provided for, it shall be disbursed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School purposes.</w:t>
        <w:t xml:space="preserve"> </w:t>
      </w:r>
      <w:r>
        <w:t xml:space="preserve"> </w:t>
      </w:r>
      <w:r>
        <w:t xml:space="preserve">It shall be paid into the treasury of the school administrative unit where the offense occurred, for use for school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Prosecution costs.</w:t>
        <w:t xml:space="preserve"> </w:t>
      </w:r>
      <w:r>
        <w:t xml:space="preserve"> </w:t>
      </w:r>
      <w:r>
        <w:t xml:space="preserve">An amount equal to the cost of prosecution shall be paid into the county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Forfeiture.</w:t>
        <w:t xml:space="preserve"> </w:t>
      </w:r>
      <w:r>
        <w:t xml:space="preserve"> </w:t>
      </w:r>
      <w:r>
        <w:t xml:space="preserve">A school administrative unit shall forfeit the money it received to a person bringing civil suit, if the unit has not expended that money within one year of receiving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§6802.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§6802.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§6802.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