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6803</w:t>
        <w:t xml:space="preserve">.  </w:t>
      </w:r>
      <w:r>
        <w:rPr>
          <w:b/>
        </w:rPr>
        <w:t xml:space="preserve">Fraud; false certification</w:t>
      </w:r>
    </w:p>
    <w:p>
      <w:pPr>
        <w:jc w:val="both"/>
        <w:spacing w:before="100" w:after="100"/>
        <w:ind w:start="360"/>
        <w:ind w:firstLine="360"/>
      </w:pPr>
      <w:r>
        <w:rPr/>
      </w:r>
      <w:r>
        <w:rPr/>
      </w:r>
      <w:r>
        <w:t xml:space="preserve">Any school officer, employee or agent who makes a written false statement on a report or document submitted to the department pursuant to this Title shall, upon conviction in a criminal proceeding, be subject to the applicable penalties in </w:t>
      </w:r>
      <w:r>
        <w:t>Title 17‑A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§40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§40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§6803. Fraud; false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§6803. Fraud; false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§6803. FRAUD; FALSE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