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§6902-A. Postsecondary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§6902-A. Postsecondary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§6902-A. POSTSECONDARY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