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6909</w:t>
        <w:t xml:space="preserve">.  </w:t>
      </w:r>
      <w:r>
        <w:rPr>
          <w:b/>
        </w:rPr>
        <w:t xml:space="preserve">Donations to the State</w:t>
      </w:r>
    </w:p>
    <w:p>
      <w:pPr>
        <w:jc w:val="both"/>
        <w:spacing w:before="100" w:after="100"/>
        <w:ind w:start="360"/>
        <w:ind w:firstLine="360"/>
      </w:pPr>
      <w:r>
        <w:rPr/>
      </w:r>
      <w:r>
        <w:rPr/>
      </w:r>
      <w:r>
        <w:t xml:space="preserve">The State, through the Office of the Governor, may accept donations, bequests, devises, grants or other interests of any nature on behalf of Jobs for Maine's Graduates and transfer those funds, property or other interests to the corporation.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§6909. Donations to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§6909. Donations to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§6909. DONATIONS TO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