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8232</w:t>
        <w:t xml:space="preserve">.  </w:t>
      </w:r>
      <w:r>
        <w:rPr>
          <w:b/>
        </w:rPr>
        <w:t xml:space="preserve">Intent; funding</w:t>
      </w:r>
    </w:p>
    <w:p>
      <w:pPr>
        <w:jc w:val="both"/>
        <w:spacing w:before="100" w:after="100"/>
        <w:ind w:start="360"/>
        <w:ind w:firstLine="360"/>
      </w:pPr>
      <w:r>
        <w:rPr/>
      </w:r>
      <w:r>
        <w:rPr/>
      </w:r>
      <w:r>
        <w:t xml:space="preserve">The school is established as a public school located in the Town of Searsport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655, §1 (AMD).]</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 shall provide a curriculum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100"/>
        <w:ind w:start="360"/>
        <w:ind w:firstLine="360"/>
      </w:pPr>
      <w:r>
        <w:rPr>
          <w:b/>
        </w:rPr>
        <w:t>2</w:t>
        <w:t xml:space="preserve">.  </w:t>
      </w:r>
      <w:r>
        <w:rPr>
          <w:b/>
        </w:rPr>
        <w:t xml:space="preserve">Tuition; funding.</w:t>
        <w:t xml:space="preserve"> </w:t>
      </w:r>
      <w:r>
        <w:t xml:space="preserve"> </w:t>
      </w:r>
      <w:r>
        <w:t xml:space="preserve">A student from this State may attend the school free of tuition charges.  Additional funding for students from this State may be provided within amounts appropriated for that purpose as follows.</w:t>
      </w:r>
    </w:p>
    <w:p>
      <w:pPr>
        <w:jc w:val="both"/>
        <w:spacing w:before="100" w:after="0"/>
        <w:ind w:start="720"/>
      </w:pPr>
      <w:r>
        <w:rPr/>
        <w:t>A</w:t>
        <w:t xml:space="preserve">.  </w:t>
      </w:r>
      <w:r>
        <w:rPr/>
      </w:r>
      <w:r>
        <w:t xml:space="preserve">State funding for the school must be provided using the method established for public charter schools that are authorized by the commission in accordance with the funding provisions established in </w:t>
      </w:r>
      <w:r>
        <w:t>section 2413‑A</w:t>
      </w:r>
      <w:r>
        <w:t xml:space="preserve"> and </w:t>
      </w:r>
      <w:r>
        <w:t>section 15683‑B</w:t>
      </w:r>
      <w:r>
        <w:t xml:space="preserv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2017, c. 284, Pt. C,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655, §2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2017, c. 284, Pt. C, §13 (AMD). PL 2019, c. 655,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§8232. Intent;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§8232. Intent;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§8232. INTENT;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