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§8451-B. Authority for career and technical education region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§8451-B. AUTHORITY FOR CAREER AND TECHNICAL EDUCATION REGION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