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§8458. Career and technical education director; chief administrative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§8458. Career and technical education director; chief administrative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§8458. CAREER AND TECHNICAL EDUCATION DIRECTOR; CHIEF ADMINISTRATIVE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