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w:t>
        <w:t xml:space="preserve">.  </w:t>
      </w:r>
      <w:r>
        <w:rPr>
          <w:b/>
        </w:rPr>
        <w:t xml:space="preserve">Rules</w:t>
      </w:r>
    </w:p>
    <w:p>
      <w:pPr>
        <w:jc w:val="both"/>
        <w:spacing w:before="100" w:after="100"/>
        <w:ind w:start="360"/>
        <w:ind w:firstLine="360"/>
      </w:pPr>
      <w:r>
        <w:rPr/>
      </w:r>
      <w:r>
        <w:rPr/>
      </w:r>
      <w:r>
        <w:t xml:space="preserve">The commissioner may adopt rules to establish requirements for adult education courses, to establish procedures for approving adult education courses offered by units, regions or centers and to otherwise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