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8612</w:t>
        <w:t xml:space="preserve">.  </w:t>
      </w:r>
      <w:r>
        <w:rPr>
          <w:b/>
        </w:rPr>
        <w:t xml:space="preserve">Other supports</w:t>
      </w:r>
    </w:p>
    <w:p>
      <w:pPr>
        <w:jc w:val="both"/>
        <w:spacing w:before="100" w:after="100"/>
        <w:ind w:start="360"/>
        <w:ind w:firstLine="360"/>
      </w:pPr>
      <w:r>
        <w:rPr/>
      </w:r>
      <w:r>
        <w:rPr/>
      </w:r>
      <w:r>
        <w:t xml:space="preserve">A unit, region or center that provides adult education shall ensure that adult education students are provided, when applicable, information regarding and referral to other state departments and agencies that provide support to adult education students, including, but not limited to, the Department of Health and Human Services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w:pPr>
        <w:jc w:val="both"/>
        <w:spacing w:before="100" w:after="100"/>
        <w:ind w:start="360"/>
        <w:ind w:firstLine="360"/>
      </w:pPr>
      <w:r>
        <w:rPr/>
      </w:r>
      <w:r>
        <w:rPr/>
      </w:r>
      <w:r>
        <w:t xml:space="preserve">Nothing in this section relieves a school administrative unit of its legal responsibility for the education of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§8612. Other supports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§8612. Other supports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§8612. OTHER SUPPORTS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