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§8705. Departmental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Departmental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§8705. DEPARTMENTAL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