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w:pPr>
        <w:jc w:val="both"/>
        <w:spacing w:before="100" w:after="0"/>
        <w:ind w:start="360"/>
        <w:ind w:firstLine="360"/>
      </w:pPr>
      <w:r>
        <w:rPr>
          <w:b/>
        </w:rPr>
        <w:t>1</w:t>
        <w:t xml:space="preserve">.  </w:t>
      </w:r>
      <w:r>
        <w:rPr>
          <w:b/>
        </w:rPr>
        <w:t xml:space="preserve">Drug treatment center.</w:t>
        <w:t xml:space="preserve"> </w:t>
      </w:r>
      <w:r>
        <w:t xml:space="preserve"> </w:t>
      </w:r>
      <w:r>
        <w:t xml:space="preserve">"Drug treatment center" means a facility as defined in </w:t>
      </w:r>
      <w:r>
        <w:t>Title 22, section 8001</w:t>
      </w:r>
      <w:r>
        <w:t xml:space="preserve">, which provides substance use disorder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§62 (AMD).]</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any resident of the State between the ages of 5 and 20 years who is otherwise eligible for public schooling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w:pPr>
        <w:jc w:val="both"/>
        <w:spacing w:before="100" w:after="0"/>
        <w:ind w:start="360"/>
        <w:ind w:firstLine="360"/>
      </w:pPr>
      <w:r>
        <w:rPr>
          <w:b/>
        </w:rPr>
        <w:t>3</w:t>
        <w:t xml:space="preserve">.  </w:t>
      </w:r>
      <w:r>
        <w:rPr>
          <w:b/>
        </w:rPr>
        <w:t xml:space="preserve">Long-term treatment.</w:t>
        <w:t xml:space="preserve"> </w:t>
      </w:r>
      <w:r>
        <w:t xml:space="preserve"> </w:t>
      </w:r>
      <w:r>
        <w:t xml:space="preserve">"Long-term treatment" means treatment in a drug treatment center designed to provide treatment for a period in excess of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PL 2017, c. 407, Pt. A,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