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NOMINATIONS</w:t>
      </w:r>
    </w:p>
    <w:p>
      <w:pPr>
        <w:jc w:val="center"/>
        <w:ind w:start="360"/>
        <w:spacing w:before="300" w:after="300"/>
      </w:pPr>
      <w:r>
        <w:rPr>
          <w:b/>
        </w:rPr>
        <w:t>SUBCHAPTER</w:t>
        <w:t xml:space="preserve"> </w:t>
        <w:t>1</w:t>
      </w:r>
    </w:p>
    <w:p>
      <w:pPr>
        <w:jc w:val="center"/>
        <w:ind w:start="360"/>
        <w:spacing w:before="300" w:after="300"/>
      </w:pPr>
      <w:r>
        <w:rPr>
          <w:b/>
        </w:rPr>
        <w:t xml:space="preserve">BY POLITICAL PARTIES</w:t>
      </w:r>
    </w:p>
    <w:p>
      <w:pPr>
        <w:jc w:val="center"/>
        <w:ind w:start="360"/>
        <w:spacing w:before="300" w:after="300"/>
      </w:pPr>
      <w:r>
        <w:rPr>
          <w:b/>
        </w:rPr>
        <w:t>ARTICLE</w:t>
        <w:t xml:space="preserve"> </w:t>
        <w:t>1</w:t>
      </w:r>
    </w:p>
    <w:p>
      <w:pPr>
        <w:jc w:val="center"/>
        <w:ind w:start="360"/>
        <w:spacing w:before="300" w:after="300"/>
      </w:pPr>
      <w:r>
        <w:rPr>
          <w:b/>
        </w:rPr>
        <w:t xml:space="preserve">PARTY QUALIFICATION</w:t>
      </w:r>
    </w:p>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jc w:val="center"/>
        <w:ind w:start="360"/>
        <w:spacing w:before="300" w:after="300"/>
      </w:pPr>
      <w:r>
        <w:rPr>
          <w:b/>
        </w:rPr>
        <w:t>ARTICLE</w:t>
        <w:t xml:space="preserve"> </w:t>
        <w:t>2</w:t>
      </w:r>
    </w:p>
    <w:p>
      <w:pPr>
        <w:jc w:val="center"/>
        <w:ind w:start="360"/>
        <w:spacing w:before="300" w:after="300"/>
      </w:pPr>
      <w:r>
        <w:rPr>
          <w:b/>
        </w:rPr>
        <w:t xml:space="preserve">BIENNIAL MUNICIPAL CAUCUS</w:t>
      </w:r>
    </w:p>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3</w:t>
      </w:r>
    </w:p>
    <w:p>
      <w:pPr>
        <w:jc w:val="center"/>
        <w:ind w:start="360"/>
        <w:spacing w:before="300" w:after="300"/>
      </w:pPr>
      <w:r>
        <w:rPr>
          <w:b/>
        </w:rPr>
        <w:t xml:space="preserve">CONVENTIONS</w:t>
      </w:r>
    </w:p>
    <w:p>
      <w:pPr>
        <w:jc w:val="both"/>
        <w:spacing w:before="100" w:after="100"/>
        <w:ind w:start="1080" w:hanging="720"/>
      </w:pPr>
      <w:r>
        <w:rPr>
          <w:b/>
        </w:rPr>
        <w:t>§</w:t>
        <w:t>321</w:t>
        <w:t xml:space="preserve">.  </w:t>
      </w:r>
      <w:r>
        <w:rPr>
          <w:b/>
        </w:rPr>
        <w:t xml:space="preserve">Time and place;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(TEXT EFFECTIVE UNTIL 1/01/24)</w:t>
        <w:t xml:space="preserve"> </w:t>
      </w:r>
      <w:r>
        <w:rPr>
          <w:b/>
        </w:rPr>
        <w:t xml:space="preserve">Time, place and representation.</w:t>
        <w:t xml:space="preserve"> </w:t>
      </w:r>
      <w:r>
        <w:t xml:space="preserve"> </w:t>
      </w:r>
      <w:r>
        <w:t xml:space="preserve">The party's state committee shall determine the time, place and basis of representation for the convention.  Delegates must be qualified to vote in the party's primary election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w:pPr>
        <w:jc w:val="both"/>
        <w:spacing w:before="100" w:after="0"/>
        <w:ind w:start="360"/>
        <w:ind w:firstLine="360"/>
      </w:pPr>
      <w:r>
        <w:rPr>
          <w:b/>
        </w:rPr>
        <w:t>1</w:t>
        <w:t xml:space="preserve">.  </w:t>
      </w:r>
      <w:r>
        <w:rPr>
          <w:b/>
        </w:rPr>
        <w:t>(TEXT EFFECTIVE 1/01/24)</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jc w:val="center"/>
        <w:ind w:start="360"/>
        <w:spacing w:before="300" w:after="300"/>
      </w:pPr>
      <w:r>
        <w:rPr>
          <w:b/>
        </w:rPr>
        <w:t>ARTICLE</w:t>
        <w:t xml:space="preserve"> </w:t>
        <w:t>4</w:t>
      </w:r>
    </w:p>
    <w:p>
      <w:pPr>
        <w:jc w:val="center"/>
        <w:ind w:start="360"/>
        <w:spacing w:before="300" w:after="300"/>
      </w:pPr>
      <w:r>
        <w:rPr>
          <w:b/>
        </w:rPr>
        <w:t xml:space="preserve">NOMINATION BY PRIMARY ELECTION</w:t>
      </w:r>
    </w:p>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w:t>
      </w:r>
      <w:r>
        <w:t>subsection 7, paragraph A</w:t>
      </w:r>
      <w:r>
        <w:t xml:space="preserve">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0"/>
        <w:ind w:start="360"/>
        <w:ind w:firstLine="360"/>
      </w:pPr>
      <w:r>
        <w:rPr>
          <w:b/>
        </w:rPr>
        <w:t>1</w:t>
        <w:t xml:space="preserve">.  </w:t>
      </w:r>
      <w:r>
        <w:rPr>
          <w:b/>
        </w:rPr>
        <w:t xml:space="preserve">Notice to Secretary of State.</w:t>
        <w:t xml:space="preserve"> </w:t>
      </w:r>
      <w:r>
        <w:t xml:space="preserve"> </w:t>
      </w:r>
      <w:r>
        <w:t xml:space="preserve">No later than February 1st of the election year, each political party eligible to participate in a primary election shall notify the Secretary of State of the enrollment qualifications, subject to the restrictions in </w:t>
      </w:r>
      <w:r>
        <w:t>section 144</w:t>
      </w:r>
      <w:r>
        <w:t xml:space="preserve">, for voters eligible to vote in that party's primary.  If no notice is received by that date, only voters enrolled in a political party may vote in that party's primary.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w:t>
      </w:r>
    </w:p>
    <w:p>
      <w:pPr>
        <w:jc w:val="both"/>
        <w:spacing w:before="100" w:after="0"/>
        <w:ind w:start="360"/>
        <w:ind w:firstLine="360"/>
      </w:pPr>
      <w:r>
        <w:rPr>
          <w:b/>
        </w:rPr>
        <w:t>2</w:t>
        <w:t xml:space="preserve">.  </w:t>
      </w:r>
      <w:r>
        <w:rPr>
          <w:b/>
        </w:rPr>
        <w:t xml:space="preserve">Notice to municipal clerks.</w:t>
        <w:t xml:space="preserve"> </w:t>
      </w:r>
      <w:r>
        <w:t xml:space="preserve"> </w:t>
      </w:r>
      <w:r>
        <w:t xml:space="preserve">The Secretary of State shall inform all municipal clerks of the qualifications necessary for voters to participate in each party's primary.  The clerks shall establish procedures to ensure that all qualified primary voters are offered ballots for each party in which primary election the voters are qualified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1/01/24 by PL 2021, c. 750, §5; §14)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A registered voter not enrolled in a political party may participate, subject to the restrictions of section 145, subsection 3,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jc w:val="center"/>
        <w:ind w:start="360"/>
        <w:spacing w:before="300" w:after="300"/>
      </w:pPr>
      <w:r>
        <w:rPr>
          <w:b/>
        </w:rPr>
        <w:t>SUBCHAPTER</w:t>
        <w:t xml:space="preserve"> </w:t>
        <w:t>2</w:t>
      </w:r>
    </w:p>
    <w:p>
      <w:pPr>
        <w:jc w:val="center"/>
        <w:ind w:start="360"/>
        <w:spacing w:before="300" w:after="300"/>
      </w:pPr>
      <w:r>
        <w:rPr>
          <w:b/>
        </w:rPr>
        <w:t xml:space="preserve">BY PETITION</w:t>
      </w:r>
    </w:p>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w:t>
      </w:r>
      <w:r>
        <w:t>subsection 7, paragraph A</w:t>
      </w:r>
      <w:r>
        <w:t xml:space="preserve">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VACANCIES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jc w:val="center"/>
        <w:ind w:start="360"/>
        <w:spacing w:before="300" w:after="300"/>
      </w:pPr>
      <w:r>
        <w:rPr>
          <w:b/>
        </w:rPr>
        <w:t>ARTICLE</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jc w:val="center"/>
        <w:ind w:start="360"/>
        <w:spacing w:before="300" w:after="300"/>
      </w:pPr>
      <w:r>
        <w:rPr>
          <w:b/>
        </w:rPr>
        <w:t>ARTICLE</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jc w:val="center"/>
        <w:ind w:start="360"/>
        <w:spacing w:before="300" w:after="300"/>
      </w:pPr>
      <w:r>
        <w:rPr>
          <w:b/>
        </w:rPr>
        <w:t>ARTICLE</w:t>
        <w:t xml:space="preserve"> </w:t>
        <w:t>4</w:t>
      </w:r>
    </w:p>
    <w:p>
      <w:pPr>
        <w:jc w:val="center"/>
        <w:ind w:start="360"/>
        <w:spacing w:before="300" w:after="300"/>
      </w:pPr>
      <w:r>
        <w:rPr>
          <w:b/>
        </w:rPr>
        <w:t xml:space="preserve">FEDERAL OFFICIALS</w:t>
      </w:r>
    </w:p>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jc w:val="center"/>
        <w:ind w:start="360"/>
        <w:spacing w:before="300" w:after="300"/>
      </w:pPr>
      <w:r>
        <w:rPr>
          <w:b/>
        </w:rPr>
        <w:t>SUBCHAPTER</w:t>
        <w:t xml:space="preserve"> </w:t>
        <w:t>4</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jc w:val="center"/>
        <w:ind w:start="360"/>
        <w:spacing w:before="300" w:after="300"/>
      </w:pPr>
      <w:r>
        <w:rPr>
          <w:b/>
        </w:rPr>
        <w:t>SUBCHAPTER</w:t>
        <w:t xml:space="preserve"> </w:t>
        <w:t>5</w:t>
      </w:r>
    </w:p>
    <w:p>
      <w:pPr>
        <w:jc w:val="center"/>
        <w:ind w:start="360"/>
        <w:spacing w:before="300" w:after="300"/>
      </w:pPr>
      <w:r>
        <w:rPr>
          <w:b/>
        </w:rPr>
        <w:t xml:space="preserve">PRESIDENTIAL PREFERENCE PRIMARY ELECTIONS</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jc w:val="center"/>
        <w:ind w:start="360"/>
        <w:spacing w:before="300" w:after="300"/>
      </w:pPr>
      <w:r>
        <w:rPr>
          <w:b/>
        </w:rPr>
        <w:t>SUBCHAPTER</w:t>
        <w:t xml:space="preserve"> </w:t>
        <w:t>6</w:t>
      </w:r>
    </w:p>
    <w:p>
      <w:pPr>
        <w:jc w:val="center"/>
        <w:ind w:start="360"/>
        <w:spacing w:before="300" w:after="300"/>
      </w:pPr>
      <w:r>
        <w:rPr>
          <w:b/>
        </w:rPr>
        <w:t xml:space="preserve">CANDIDATES FOR THE UNITED STATES CONGRESS: THE UNITED STATES HOUSE OF REPRESENTATIVES AND THE UNITED STATES SENATE</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jc w:val="center"/>
        <w:ind w:start="360"/>
        <w:spacing w:before="300" w:after="300"/>
      </w:pPr>
      <w:r>
        <w:rPr>
          <w:b/>
        </w:rPr>
        <w:t>SUBCHAPTER</w:t>
        <w:t xml:space="preserve"> </w:t>
        <w:t>7</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center"/>
        <w:ind w:start="360"/>
        <w:spacing w:before="300" w:after="300"/>
      </w:pPr>
      <w:r>
        <w:rPr>
          <w:b/>
        </w:rPr>
        <w:t>SUBCHAPTER</w:t>
        <w:t xml:space="preserve"> </w:t>
        <w:t>8</w:t>
      </w:r>
    </w:p>
    <w:p>
      <w:pPr>
        <w:jc w:val="center"/>
        <w:ind w:start="360"/>
        <w:spacing w:before="300" w:after="300"/>
      </w:pPr>
      <w:r>
        <w:rPr>
          <w:b/>
        </w:rPr>
        <w:t xml:space="preserve">PRESIDENTIAL PRIMARY ELECTIONS</w:t>
      </w:r>
    </w:p>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(TEXT EFFECTIVE UNTIL 1/01/24)</w:t>
        <w:t xml:space="preserve"> </w:t>
      </w:r>
      <w:r>
        <w:rPr>
          <w:b/>
        </w:rPr>
        <w:t xml:space="preserve">Eligible voter.</w:t>
        <w:t xml:space="preserve"> </w:t>
      </w:r>
      <w:r>
        <w:t xml:space="preserve"> </w:t>
      </w:r>
      <w:r>
        <w:t xml:space="preserve">No later than October 1st of the year prior to a presidential election year, the state committee of each party shall notify the Secretary of State of the enrollment qualifications, subject to the restrictions in </w:t>
      </w:r>
      <w:r>
        <w:t>section 144</w:t>
      </w:r>
      <w:r>
        <w:t xml:space="preserve">, for voters eligible to vote in that party's presidential primary election.  If no notice is received by that date, only voters enrolled in a political party may vote in that party's presidential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(TEXT REPEALED 1/01/24)</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(TEXT EFFECTIVE 1/01/24)</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5.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