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Proceeds of game night</w:t>
      </w:r>
    </w:p>
    <w:p>
      <w:pPr>
        <w:jc w:val="both"/>
        <w:spacing w:before="100" w:after="100"/>
        <w:ind w:start="360"/>
        <w:ind w:firstLine="360"/>
      </w:pPr>
      <w:r>
        <w:rPr/>
      </w:r>
      <w:r>
        <w:rPr/>
      </w:r>
      <w:r>
        <w:t xml:space="preserve">A party committee, political action committee or ballot question committee registered under this chapter that conducts a game night pursuant to </w:t>
      </w:r>
      <w:r>
        <w:t>Title 17, section 1832, subsection 2‑B</w:t>
      </w:r>
      <w:r>
        <w:t xml:space="preserve"> shall report to the commission all proceeds from the game night in a manner prescribed by rule by the commission.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§1006. Proceeds of game night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Proceeds of game night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§1006. PROCEEDS OF GAME NIGHT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