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§§24,25,31 (AMD). PL 1989, c. 833, §14 (AMD). PL 1995, c. 167, §1 (AMD). PL 1999, c. 729, §7 (AMD). PL 2005, c. 301, §§23,24 (AMD). PL 2005, c. 575, §6 (AMD). PL 2007, c. 443, Pt. A, §29 (AMD). PL 2007, c. 477, §3 (AMD). PL 2009, c. 190, Pt. A, §17 (AMD). PL 2011, c. 389, §§33, 34 (AMD). PL 2013, c. 334,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