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143-A</w:t>
        <w:t xml:space="preserve">.  </w:t>
      </w:r>
      <w:r>
        <w:rPr>
          <w:b/>
        </w:rPr>
        <w:t xml:space="preserve">Enrollment on election day</w:t>
      </w:r>
    </w:p>
    <w:p>
      <w:pPr>
        <w:jc w:val="both"/>
        <w:spacing w:before="100" w:after="100"/>
        <w:ind w:start="360"/>
        <w:ind w:firstLine="360"/>
      </w:pPr>
      <w:r>
        <w:rPr/>
      </w:r>
      <w:r>
        <w:rPr/>
      </w:r>
      <w:r>
        <w:t xml:space="preserve">A voter who is not enrolled in a party may enroll at any election by personally filing the application required by </w:t>
      </w:r>
      <w:r>
        <w:t>section 142</w:t>
      </w:r>
      <w:r>
        <w:t xml:space="preserve"> with the registrar, if the registrar is located at the voting place on election day, or with the election clerk in charge of the incoming voting list, if the registrar is not located at the voting place on election day.  The election clerk shall annotate the incoming voting list with the designation of the party selected by the voter and provide the voter with the correct ballots for the new party, if applicable.</w:t>
      </w:r>
      <w:r>
        <w:t xml:space="preserve">  </w:t>
      </w:r>
      <w:r xmlns:wp="http://schemas.openxmlformats.org/drawingml/2010/wordprocessingDrawing" xmlns:w15="http://schemas.microsoft.com/office/word/2012/wordml">
        <w:rPr>
          <w:rFonts w:ascii="Arial" w:hAnsi="Arial" w:cs="Arial"/>
          <w:sz w:val="22"/>
          <w:szCs w:val="22"/>
        </w:rPr>
        <w:t xml:space="preserve">[PL 2019, c. 371,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§143-A. Enrollment on election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§143-A. Enrollment on election day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§143-A. ENROLLMENT ON ELECTION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