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§153-A. ALTERNATIVE REGISTRATION PROCEDURE FOR VOTERS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