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§232. AUTOMATIC REGISTRATION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