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Secretary of State</w:t>
      </w:r>
    </w:p>
    <w:p>
      <w:pPr>
        <w:jc w:val="both"/>
        <w:spacing w:before="100" w:after="100"/>
        <w:ind w:start="360"/>
        <w:ind w:firstLine="360"/>
      </w:pPr>
      <w:r>
        <w:rPr/>
      </w:r>
      <w:r>
        <w:rPr/>
      </w:r>
      <w:r>
        <w:t xml:space="preserve">The Secretary of State shall determine whether or not a party has met the requirements of </w:t>
      </w:r>
      <w:r>
        <w:t>sections 301</w:t>
      </w:r>
      <w:r>
        <w:t xml:space="preserve">, </w:t>
      </w:r>
      <w:r>
        <w:t>302</w:t>
      </w:r>
      <w:r>
        <w:t xml:space="preserve"> and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§305.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§305.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