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Municipal caucus list</w:t>
      </w:r>
    </w:p>
    <w:p>
      <w:pPr>
        <w:jc w:val="both"/>
        <w:spacing w:before="100" w:after="100"/>
        <w:ind w:start="360"/>
        <w:ind w:firstLine="360"/>
      </w:pPr>
      <w:r>
        <w:rPr/>
      </w:r>
      <w:r>
        <w:rPr/>
      </w:r>
      <w:r>
        <w:t xml:space="preserve">The chair or secretary of the municipal committee or the person or persons calling a biennial municipal caucus, including any resident voter pursuant to </w:t>
      </w:r>
      <w:r>
        <w:t>section 311, subsection 5</w:t>
      </w:r>
      <w:r>
        <w:t xml:space="preserve">, may request a list of registered voters pursuant to </w:t>
      </w:r>
      <w:r>
        <w:t>section 196‑A, subsection 1</w:t>
      </w:r>
      <w:r>
        <w:t xml:space="preserve"> for use by the municipal committee once each biennial election cycle beginning January 1st in an election year.</w:t>
      </w:r>
      <w:r>
        <w:t xml:space="preserve">  </w:t>
      </w:r>
      <w:r xmlns:wp="http://schemas.openxmlformats.org/drawingml/2010/wordprocessingDrawing" xmlns:w15="http://schemas.microsoft.com/office/word/2012/wordml">
        <w:rPr>
          <w:rFonts w:ascii="Arial" w:hAnsi="Arial" w:cs="Arial"/>
          <w:sz w:val="22"/>
          <w:szCs w:val="22"/>
        </w:rPr>
        <w:t xml:space="preserve">[PL 2009, c. 564,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450, §13 (RPR). PL 2001, c. 310, §18 (AMD). PL 2005, c. 453, §45 (AMD). PL 2009, c. 564,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§312. Municipal caucus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Municipal caucus list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§312. MUNICIPAL CAUCUS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